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b/>
          <w:bCs/>
          <w:sz w:val="30"/>
          <w:szCs w:val="30"/>
        </w:rPr>
        <w:t xml:space="preserve">SAMPLE CONTRACT LANGUAGE</w:t>
      </w:r>
    </w:p>
    <w:p>
      <w:pPr>
        <w:spacing w:after="240"/>
        <w:jc w:val="center"/>
      </w:pPr>
      <w:r>
        <w:rPr>
          <w:i/>
          <w:iCs/>
          <w:sz w:val="22"/>
          <w:szCs w:val="22"/>
        </w:rPr>
        <w:t xml:space="preserve">Research Documentation and Tax Matters — for consulting and development agreements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00000" w:sz="6"/>
              <w:left w:val="single" w:color="C00000" w:sz="6"/>
              <w:bottom w:val="single" w:color="C00000" w:sz="6"/>
              <w:right w:val="single" w:color="C00000" w:sz="6"/>
            </w:tcBorders>
            <w:shd w:fill="FDF2F2" w:val="clear"/>
            <w:tcMar>
              <w:top w:type="dxa" w:w="200"/>
              <w:left w:type="dxa" w:w="200"/>
              <w:bottom w:type="dxa" w:w="200"/>
              <w:right w:type="dxa" w:w="200"/>
            </w:tcMar>
          </w:tcPr>
          <w:p>
            <w:pPr>
              <w:spacing w:after="120"/>
            </w:pPr>
            <w:r>
              <w:rPr>
                <w:b/>
                <w:bCs/>
                <w:color w:val="C00000"/>
              </w:rPr>
              <w:t xml:space="preserve">READ THIS FIRST — NOT LEGAL OR TAX ADVICE</w:t>
            </w:r>
          </w:p>
          <w:p>
            <w:pPr>
              <w:spacing w:after="120"/>
            </w:pPr>
            <w:r>
              <w:rPr>
                <w:b w:val="false"/>
                <w:bCs w:val="false"/>
                <w:color w:val="000000"/>
              </w:rPr>
              <w:t xml:space="preserve">This document is a sample for discussion purposes only. It is not legal advice, tax advice, or accounting advice, and no attorney-client or accountant-client relationship is created by your use of it. It has not been reviewed for your jurisdiction, your contract, or your circumstances.</w:t>
            </w:r>
          </w:p>
          <w:p>
            <w:pPr>
              <w:spacing w:after="120"/>
            </w:pPr>
            <w:r>
              <w:rPr>
                <w:b w:val="false"/>
                <w:bCs w:val="false"/>
                <w:color w:val="000000"/>
              </w:rPr>
              <w:t xml:space="preserve">Do not put this language into a client agreement without review by your own attorney. Tax treatment of research expenditures is fact-specific and is determined by your client's own tax advisors — not by contract language and not by you.</w:t>
            </w:r>
          </w:p>
          <w:p>
            <w:pPr>
              <w:spacing w:after="0"/>
            </w:pPr>
            <w:r>
              <w:rPr>
                <w:b w:val="false"/>
                <w:bCs w:val="false"/>
                <w:color w:val="000000"/>
              </w:rPr>
              <w:t xml:space="preserve">The clause references U.S. federal tax provisions and assumes U.S.-based work. It will not fit non-U.S. engagements without substantial revision.</w:t>
            </w:r>
          </w:p>
        </w:tc>
      </w:tr>
    </w:tbl>
    <w:p>
      <w:pPr>
        <w:spacing w:after="140" w:before="280"/>
      </w:pPr>
      <w:r>
        <w:rPr>
          <w:b/>
          <w:bCs/>
          <w:color w:val="1F4E79"/>
          <w:sz w:val="26"/>
          <w:szCs w:val="26"/>
        </w:rPr>
        <w:t xml:space="preserve">Why this language exists</w:t>
      </w:r>
    </w:p>
    <w:p>
      <w:pPr>
        <w:spacing w:after="160"/>
        <w:jc w:val="both"/>
      </w:pPr>
      <w:r>
        <w:t xml:space="preserve">When a consultant develops software or automation for a client, and the client later wants to evaluate whether those costs support a research credit claim, two questions typically control the analysis: who bore the financial risk of the research (was payment contingent on technical success?), and who holds substantial rights in the results. Most consulting agreements are silent or ambiguous on both, which leaves the client's CPA constructing an inference from scattered clauses.</w:t>
      </w:r>
    </w:p>
    <w:p>
      <w:pPr>
        <w:spacing w:after="160"/>
        <w:jc w:val="both"/>
      </w:pPr>
      <w:r>
        <w:t xml:space="preserve">The sample below makes those facts explicit so a client's tax advisor can evaluate them directly. It presumes a paid-regardless retainer or fee arrangement where the client owns the deliverables — the common consulting posture. If your engagements are structured differently (fixed-fee contingent on acceptance, you retain ownership, work performed abroad, or you intend to claim credits on your own development), this language is wrong for you and requires different drafting.</w:t>
      </w:r>
    </w:p>
    <w:p>
      <w:pPr>
        <w:spacing w:after="140" w:before="280"/>
      </w:pPr>
      <w:r>
        <w:rPr>
          <w:b/>
          <w:bCs/>
          <w:color w:val="1F4E79"/>
          <w:sz w:val="26"/>
          <w:szCs w:val="26"/>
        </w:rPr>
        <w:t xml:space="preserve">Assumptions built into this sample</w:t>
      </w:r>
    </w:p>
    <w:p>
      <w:pPr>
        <w:spacing w:after="160"/>
        <w:jc w:val="both"/>
      </w:pPr>
      <w:r>
        <w:t xml:space="preserve">1. Your agreement already provides that fees are earned for work performed, not contingent on technical outcomes.</w:t>
      </w:r>
    </w:p>
    <w:p>
      <w:pPr>
        <w:spacing w:after="160"/>
        <w:jc w:val="both"/>
      </w:pPr>
      <w:r>
        <w:t xml:space="preserve">2. Your agreement already assigns deliverable ownership to the client, with any reusable tools of yours licensed to the client as embedded.</w:t>
      </w:r>
    </w:p>
    <w:p>
      <w:pPr>
        <w:spacing w:after="160"/>
        <w:jc w:val="both"/>
      </w:pPr>
      <w:r>
        <w:t xml:space="preserve">3. Services are performed in the United States.</w:t>
      </w:r>
    </w:p>
    <w:p>
      <w:pPr>
        <w:spacing w:after="160"/>
        <w:jc w:val="both"/>
      </w:pPr>
      <w:r>
        <w:t xml:space="preserve">4. You do not intend to claim research credits on the same activities.</w:t>
      </w:r>
    </w:p>
    <w:p>
      <w:pPr>
        <w:spacing w:after="160"/>
        <w:jc w:val="both"/>
      </w:pPr>
      <w:r>
        <w:t xml:space="preserve">Cross-references below appear as [SECTION X] — map each to the corresponding section of your own agreement, and delete any paragraph whose assumption does not hold for you.</w:t>
      </w:r>
    </w:p>
    <w:p>
      <w:pPr>
        <w:pBdr>
          <w:top w:val="single" w:color="999999" w:sz="6"/>
        </w:pBdr>
        <w:spacing w:after="120" w:before="360"/>
      </w:pPr>
    </w:p>
    <w:p>
      <w:pPr>
        <w:spacing w:after="240"/>
        <w:jc w:val="center"/>
      </w:pPr>
      <w:r>
        <w:rPr>
          <w:b/>
          <w:bCs/>
          <w:sz w:val="24"/>
          <w:szCs w:val="24"/>
        </w:rPr>
        <w:t xml:space="preserve">SAMPLE CLAUSE — FOR ATTORNEY REVIEW</w:t>
      </w:r>
    </w:p>
    <w:p>
      <w:pPr>
        <w:spacing w:after="140" w:before="280"/>
      </w:pPr>
      <w:r>
        <w:rPr>
          <w:b/>
          <w:bCs/>
          <w:color w:val="1F4E79"/>
          <w:sz w:val="26"/>
          <w:szCs w:val="26"/>
        </w:rPr>
        <w:t xml:space="preserve">[SECTION NUMBER]. RESEARCH DOCUMENTATION AND TAX MATTERS</w:t>
      </w:r>
    </w:p>
    <w:p>
      <w:pPr>
        <w:spacing w:after="160"/>
        <w:jc w:val="both"/>
      </w:pPr>
      <w:r>
        <w:rPr>
          <w:b/>
          <w:bCs/>
        </w:rPr>
        <w:t xml:space="preserve">Purpose: </w:t>
      </w:r>
      <w:r>
        <w:t xml:space="preserve">This Section records certain facts concerning the engagement that may be relevant to Client’s evaluation, with its own tax advisors, of the treatment of amounts paid under this Agreement, including under Sections 41 and 174A of the Internal Revenue Code. Consultant does not provide tax, legal, or accounting advice, and nothing in this Section or in any documentation delivered under it constitutes a representation that any activity constitutes qualified research or that any expense is eligible for any credit or deduction. All such determinations rest solely with Client and its tax advisors.</w:t>
      </w:r>
    </w:p>
    <w:p>
      <w:pPr>
        <w:spacing w:after="160"/>
        <w:jc w:val="both"/>
      </w:pPr>
      <w:r>
        <w:rPr>
          <w:b/>
          <w:bCs/>
        </w:rPr>
        <w:t xml:space="preserve">Financial Risk of Research Activities: </w:t>
      </w:r>
      <w:r>
        <w:t xml:space="preserve">Consistent with [SECTION — COMPENSATION] and [SECTION — NO GUARANTEE OF RESULTS], Client’s payment obligations are not contingent on the success of any particular technical approach, experiment, or outcome, and the Parties acknowledge that Client accordingly bears the financial risk of research and experimental activities performed under this Agreement.</w:t>
      </w:r>
    </w:p>
    <w:p>
      <w:pPr>
        <w:spacing w:after="160"/>
        <w:jc w:val="both"/>
      </w:pPr>
      <w:r>
        <w:rPr>
          <w:b/>
          <w:bCs/>
        </w:rPr>
        <w:t xml:space="preserve">Rights in Research Results: </w:t>
      </w:r>
      <w:r>
        <w:t xml:space="preserve">The Parties intend and agree that Client holds substantial rights in the results of any research and experimental activities performed under this Agreement for use in Client’s business. Client’s ownership of the Deliverables under [SECTION — INTELLECTUAL PROPERTY], together with its perpetual, non-exclusive, royalty-free license to Consultant’s reusable tools as embedded in the Deliverables, permits Client to use such results in the conduct of its business without payment of any additional consideration. Nothing in this Section transfers ownership of Consultant’s reusable tools, which remain the sole property of Consultant as provided in [SECTION — INTELLECTUAL PROPERTY].</w:t>
      </w:r>
    </w:p>
    <w:p>
      <w:pPr>
        <w:spacing w:after="160"/>
        <w:jc w:val="both"/>
      </w:pPr>
      <w:r>
        <w:rPr>
          <w:b/>
          <w:bCs/>
        </w:rPr>
        <w:t xml:space="preserve">Location of Performance: </w:t>
      </w:r>
      <w:r>
        <w:t xml:space="preserve">Services under this Agreement are performed within the United States. Consultant shall notify Client in writing before any services are performed, or subcontracted for performance, outside the United States.</w:t>
      </w:r>
    </w:p>
    <w:p>
      <w:pPr>
        <w:spacing w:after="160"/>
        <w:jc w:val="both"/>
      </w:pPr>
      <w:r>
        <w:rPr>
          <w:b/>
          <w:bCs/>
        </w:rPr>
        <w:t xml:space="preserve">Research Activity Documentation: </w:t>
      </w:r>
      <w:r>
        <w:t xml:space="preserve">Consultant maintains contemporaneous records of candidate research activity arising in the course of the engagement, including technical uncertainties encountered, alternatives evaluated, experiments performed and their results, and the associated time. Upon Client’s request, and at the conclusion of each calendar year during the engagement, Consultant will provide Client with such records, together with an identification of the hours associated with candidate research activity in the itemized summaries delivered under [SECTION — COMPENSATION]. Such records are provided for the informational use of Client and its tax advisors, identify candidate activity only, and do not constitute a determination of qualification for any tax purpose.</w:t>
      </w:r>
    </w:p>
    <w:p>
      <w:pPr>
        <w:spacing w:after="160"/>
        <w:jc w:val="both"/>
      </w:pPr>
      <w:r>
        <w:rPr>
          <w:b/>
          <w:bCs/>
        </w:rPr>
        <w:t xml:space="preserve">No Duplicate Claim: </w:t>
      </w:r>
      <w:r>
        <w:t xml:space="preserve">Consultant does not intend to claim, and shall not claim, the federal credit for increasing research activities under Section 41 of the Internal Revenue Code with respect to activities performed for Client under this Agreement.</w:t>
      </w:r>
    </w:p>
    <w:p>
      <w:pPr>
        <w:spacing w:after="160"/>
        <w:jc w:val="both"/>
      </w:pPr>
      <w:r>
        <w:rPr>
          <w:b/>
          <w:bCs/>
        </w:rPr>
        <w:t xml:space="preserve">No Tax Advice; Responsibility: </w:t>
      </w:r>
      <w:r>
        <w:t xml:space="preserve">Client is solely responsible for its own tax positions, elections, filings, and claims, and shall rely exclusively on its own tax advisors in making them. Consultant shall have no liability arising from any tax position taken or not taken by Client, and the limitations of liability in [SECTION — LIMITATION OF LIABILITY] apply to this Section.</w:t>
      </w:r>
    </w:p>
    <w:p>
      <w:pPr>
        <w:pBdr>
          <w:top w:val="single" w:color="999999" w:sz="6"/>
        </w:pBdr>
        <w:spacing w:before="360"/>
      </w:pPr>
    </w:p>
    <w:p>
      <w:pPr>
        <w:spacing w:before="240"/>
        <w:jc w:val="center"/>
      </w:pPr>
      <w:r>
        <w:rPr>
          <w:i/>
          <w:iCs/>
          <w:color w:val="666666"/>
          <w:sz w:val="18"/>
          <w:szCs w:val="18"/>
        </w:rPr>
        <w:t xml:space="preserve">Shared as a courtesy by White Rabbit Advisory Group, LLC. Provided as-is, with no warranty of any kind. Have your attorney review before use.</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2026-08-08T22:39:31.340Z</dcterms:created>
  <dcterms:modified xsi:type="dcterms:W3CDTF">2026-08-08T22:39:31.343Z</dcterms:modified>
</cp:coreProperties>
</file>

<file path=docProps/custom.xml><?xml version="1.0" encoding="utf-8"?>
<Properties xmlns="http://schemas.openxmlformats.org/officeDocument/2006/custom-properties" xmlns:vt="http://schemas.openxmlformats.org/officeDocument/2006/docPropsVTypes"/>
</file>